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9" w:rsidRPr="00DE2032" w:rsidRDefault="00677A49" w:rsidP="00677A49">
      <w:pPr>
        <w:spacing w:before="600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Не</w:t>
      </w:r>
      <w:bookmarkStart w:id="0" w:name="_GoBack"/>
      <w:bookmarkEnd w:id="0"/>
      <w:r w:rsidRPr="00DE2032">
        <w:rPr>
          <w:rFonts w:ascii="Arial" w:eastAsia="Times New Roman" w:hAnsi="Arial" w:cs="Arial"/>
          <w:b/>
          <w:bCs/>
          <w:color w:val="3C4245"/>
          <w:kern w:val="36"/>
          <w:sz w:val="75"/>
          <w:szCs w:val="75"/>
          <w:lang w:eastAsia="ru-RU"/>
        </w:rPr>
        <w:t>доедание</w:t>
      </w:r>
    </w:p>
    <w:p w:rsidR="00677A49" w:rsidRPr="00DE2032" w:rsidRDefault="00677A49" w:rsidP="00677A49">
      <w:pPr>
        <w:spacing w:after="0" w:line="240" w:lineRule="auto"/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</w:pPr>
      <w:r w:rsidRPr="00DE2032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1 апреля 2020 года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Основные факты</w:t>
      </w:r>
    </w:p>
    <w:p w:rsidR="00677A49" w:rsidRPr="00DE2032" w:rsidRDefault="00677A49" w:rsidP="00677A4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Недоедание, во всех его формах, включает недоедание (истощение, отставание в росте, недостаточный вес), недостаток витаминов или минералов, избыточный вес, ожирение и, как следствие, связанные с питанием неинфекционные заболевания.</w:t>
      </w:r>
    </w:p>
    <w:p w:rsidR="00677A49" w:rsidRPr="00DE2032" w:rsidRDefault="00677A49" w:rsidP="00677A4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1,9 миллиарда взрослых имеют избыточный вес или ожирение, в то время как 462 миллиона имеют недостаточный вес.</w:t>
      </w:r>
    </w:p>
    <w:p w:rsidR="00677A49" w:rsidRPr="00DE2032" w:rsidRDefault="00677A49" w:rsidP="00677A4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47 миллионов детей в возрасте до 5 лет </w:t>
      </w:r>
      <w:proofErr w:type="gram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истощены</w:t>
      </w:r>
      <w:proofErr w:type="gram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, 14,3 миллиона серьезно истощены и 144 миллиона отстают в росте, в то время как 38,3 миллиона страдают избыточным весом или ожирением.</w:t>
      </w:r>
    </w:p>
    <w:p w:rsidR="00677A49" w:rsidRPr="00DE2032" w:rsidRDefault="00677A49" w:rsidP="00677A4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Около 45% смертей среди детей в возрасте до 5 лет </w:t>
      </w:r>
      <w:proofErr w:type="gramStart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связаны</w:t>
      </w:r>
      <w:proofErr w:type="gramEnd"/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 xml:space="preserve"> с недостаточным питанием. В основном это происходит в странах с низким и средним уровнем дохода. В то же время в этих же странах растут показатели детского избыточного веса и ожирения.</w:t>
      </w:r>
    </w:p>
    <w:p w:rsidR="00677A49" w:rsidRPr="00DE2032" w:rsidRDefault="00677A49" w:rsidP="00677A49">
      <w:pPr>
        <w:numPr>
          <w:ilvl w:val="0"/>
          <w:numId w:val="1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Последствия глобального бремени недоедания для развития, экономики, социальной сферы и медицины являются серьезными и долговременными для отдельных людей и их семей, общин и стран.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Недоедание относится к недостаткам, избыткам или дисбалансам в потреблении человеком энергии и / или питательных веществ. Термин недоедание охватывает 3 широкие группы состояний:</w:t>
      </w:r>
    </w:p>
    <w:p w:rsidR="00677A49" w:rsidRPr="00DE2032" w:rsidRDefault="00677A49" w:rsidP="00677A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недостаточное питание, которое включает в себя истощение (низкий вес для роста), задержку роста (низкий рост для возраста) и недостаточный вес (низкий вес для возраста);</w:t>
      </w:r>
    </w:p>
    <w:p w:rsidR="00677A49" w:rsidRPr="00DE2032" w:rsidRDefault="00677A49" w:rsidP="00677A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недостаточное питание, связанное с микроэлементами, которое включает дефицит микроэлементов (недостаток важных витаминов и минералов) или избыток микроэлементов; и</w:t>
      </w:r>
    </w:p>
    <w:p w:rsidR="00677A49" w:rsidRPr="00DE2032" w:rsidRDefault="00677A49" w:rsidP="00677A4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избыточный вес, ожирение и связанные с диетой неинфекционные заболевания (такие как болезни сердца, инсульт, диабет и некоторые виды рака).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Различные формы недоедания</w:t>
      </w:r>
    </w:p>
    <w:p w:rsidR="00677A49" w:rsidRPr="00DE2032" w:rsidRDefault="00677A49" w:rsidP="00677A49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Недостаточное питание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Существует 4 основных </w:t>
      </w:r>
      <w:proofErr w:type="spell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подформы</w:t>
      </w:r>
      <w:proofErr w:type="spell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недостаточного питания: истощение, задержка роста, недостаточный вес и дефицит витаминов и минералов. Недоедание делает детей, в частности, гораздо более уязвимыми к болезням и смерти.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Низкий вес для роста известен как расточительство. Это обычно указывает на недавнюю и тяжелую потерю веса, потому что человек не ел достаточно пищи и/или у него было инфекционное заболевание, такое как диарея, которая заставила его похудеть. Маленький ребенок, который умеренно или сильно истощен, имеет повышенный риск смерти, но лечение возможно.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Низкий рост-для-возраста известен как задержка роста. Это является результатом хронического или повторяющегося недоедания, обычно связанного с плохими социально-экономическими условиями, плохим материнским здоровьем и питанием, частыми болезнями и/или неадекватным кормлением и уходом за младенцами и маленькими детьми в раннем возрасте. Задержка роста мешает детям реализовать свой физический и когнитивный потенциал.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Дети с низким весом для своего возраста известны как люди с недостаточным весом. Ребенок с недостаточным весом может быть низкорослым, истощенным или и тем и другим.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Недостаточное питание, связанное с микроэлементами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Недостаточность в потреблении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витаминов и минералов, часто называемых микроэлементами, также может быть сгруппирована вместе. Микроэлементы позволяют организму вырабатывать ферменты, гормоны и другие вещества, необходимые для правильного роста и развития.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Йод, витамин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А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железо являются наиболее важными элементами глобального здравоохранения; их дефицит представляет собой серьезную угрозу здоровью и развитию населения во всем мире, особенно детей и беременных женщин в странах с низким уровнем дохода.</w:t>
      </w:r>
    </w:p>
    <w:p w:rsidR="00677A49" w:rsidRPr="00DE2032" w:rsidRDefault="00677A49" w:rsidP="00677A49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Избыточный вес и ожирение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Избыточный вес и ожирение - это когда человек слишком тяжел для своего роста. Ненормальное или чрезмерное накопление жира может ухудшить здоровье.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Индекс массы тела (ИМТ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)-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это индекс соотношения веса и роста, обычно используемый для классификации избыточного веса и ожирения. Она определяется как вес человека в килограммах, деленный на квадрат его роста в метрах (кг/м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2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). У взрослых избыточный вес определяется как ИМТ 25 или более, в то время как ожирение-это ИМТ 30 или более.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Избыточный вес и ожирение являются результатом дисбаланса между потребляемой энергией (слишком много) и расходуемой энергией (слишком мало). Во всем мире люди потребляют продукты питания и напитки, которые являются более энергоемкими (с высоким содержанием сахара и жиров), и занимаются меньшей физической активностью.</w:t>
      </w:r>
    </w:p>
    <w:p w:rsidR="00677A49" w:rsidRPr="00DE2032" w:rsidRDefault="00677A49" w:rsidP="00677A49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Неинфекционные заболевания, связанные с питанием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Неинфекционные заболевания, связанные с питанием (низ), включают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сердечно-сосудистые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заболевания (такие как сердечные приступы и инсульт, часто связанные с высоким кровяным давлением), некоторые виды рака и диабет. Нездоровое питание и неправильное питание являются одними из главных факторов риска развития этих заболеваний во всем мире.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Масштаб проблемы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2014 году примерно 462 миллиона взрослых людей во всем мире имели недостаточный вес, в то время как 1,9 миллиарда имели либо избыточный вес, либо ожирение.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2016 году, по оценкам, 155 миллионов детей в возрасте до 5 лет страдали от задержки роста, в то время как 41 миллион имели избыточный вес или ожирение.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Около 45% смертей среди детей в возрасте до 5 лет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связаны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с недостаточным питанием. В основном это происходит в странах с низким и средним уровнем дохода. В то же время в этих же странах растут показатели детского избыточного веса и ожирения.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Кто находится в зоне риска?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Каждая страна в мире страдает от одной или нескольких форм недоедания. Борьба с недоеданием во всех его формах является одной из самых серьезных глобальных проблем здравоохранения.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Женщины, младенцы, дети и подростки подвергаются особому риску недоедания. Оптимизация питания в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раннем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возрасте—включая 1000 дней от зачатия до второго дня рождения ребенка-обеспечивает наилучшее начало жизни с долгосрочными преимуществами.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Бедность усиливает риск недоедания и риски, связанные с ним. Бедные люди чаще страдают от различных форм недоедания. Кроме того, недоедание увеличивает расходы на здравоохранение, снижает производительность труда и замедляет экономический рост, что может увековечить цикл бедности и плохого здоровья.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Десятилетие действий Организации Объединенных Наций в области питания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1 апреля 2016 года Генеральная Ассамблея ООН провозгласила 2016-2025 годы Десятилетием действий Организации Объединенных Наций в области питания. Десятилетие-это беспрецедентная возможность для решения проблемы всех форм недоедания. 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 нем устанавливаются конкретные сроки выполнения обязательств, принятых на второй Международной конференции по питанию (ICN2), по достижению к 2025 году ряда глобальных целей в области питания и связанных с питанием целей в области низ, а также соответствующих целей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Повестки дня в области устойчивого развития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к 2030 году-в частности, Цель устойчивого развития (ЦУР) 2 (покончить с голодом, достичь продовольственной безопасности и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улучшения питания, а также содействовать устойчивому сельскому хозяйству) и ЦУР 3 (обеспечить здоровый образ жизни и способствовать благополучию для всех в любом возрасте).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Десятилетие действий ООН в области питания, проводимое под руководством ВОЗ и Продовольственной и сельскохозяйственной Организации Объединенных Наций (ФАО), требует принятия политических мер в 6 ключевых областях: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создание устойчивых, устойчивых продовольственных систем для здорового питания;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социальной защиты и образования в области питания для всех;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приведение систем здравоохранения в соответствие с потребностями в питании и обеспечение всеобщего охвата основными мероприятиями в области питания;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обеспечение того, чтобы торговая и инвестиционная политика улучшала качество питания;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создание безопасных и благоприятных условий для питания в любом возрасте; и</w:t>
      </w:r>
    </w:p>
    <w:p w:rsidR="00677A49" w:rsidRPr="00DE2032" w:rsidRDefault="00677A49" w:rsidP="00677A4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укрепление и поощрение управления питанием и подотчетности во всем мире.</w:t>
      </w:r>
    </w:p>
    <w:p w:rsidR="00677A49" w:rsidRPr="00DE2032" w:rsidRDefault="00677A49" w:rsidP="00677A49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DE2032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Ответ ВОЗ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ВОЗ стремится к миру, свободному от всех форм недоедания, где все люди достигают здоровья и благополучия. В соответствии со стратегией питания на 2016-2025 годы ВОЗ работает с государствами-членами и партнерами над обеспечением всеобщего доступа к эффективным мероприятиям в области питания и здоровому питанию в рамках устойчивых и устойчивых продовольственных систем. ВОЗ использует свои полномочия созыва для оказания помощи в определении, согласовании и отстаивании приоритетов и политики, способствующих глобальному продвижению вперед в области питания; разрабатывает научно обоснованные руководящие указания, основанные на надежных научных и этических основах; поддерживает принятие руководящих 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указаний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осуществление эффективных мер в области питания; а также осуществляет мониторинг и оценку осуществления политики и программ и результатов в области питания.</w:t>
      </w:r>
    </w:p>
    <w:p w:rsidR="00677A49" w:rsidRPr="00DE2032" w:rsidRDefault="00677A49" w:rsidP="00677A4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Эта работа основана на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всеобъемлющем плане осуществления по вопросам питания матерей, младенцев и детей 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раннего возраста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,</w:t>
      </w:r>
      <w:proofErr w:type="gramEnd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принятом государствами-членами в соответствии с резолюцией Всемирной ассамблеи здравоохранения в 2012 году. Меры по искоренению недоедания также имеют жизненно важное значение для достижения связанных с питанием целей глобального плана действий по профилактике неинфекционных заболеваний и борьбе с ними на 2013-2020 годы, </w:t>
      </w:r>
      <w:r w:rsidRPr="00DE2032">
        <w:rPr>
          <w:rFonts w:ascii="Arial" w:eastAsia="Times New Roman" w:hAnsi="Arial" w:cs="Arial"/>
          <w:i/>
          <w:iCs/>
          <w:color w:val="3C4245"/>
          <w:sz w:val="24"/>
          <w:szCs w:val="24"/>
          <w:lang w:eastAsia="ru-RU"/>
        </w:rPr>
        <w:t>глобальной стратегии охраны здоровья женщин, детей и подростков на 2016-2030 годы и повестки дня в области устойчивого развития </w:t>
      </w:r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 период до 2030 года</w:t>
      </w:r>
      <w:proofErr w:type="gramStart"/>
      <w:r w:rsidRPr="00DE2032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.</w:t>
      </w:r>
      <w:proofErr w:type="gramEnd"/>
    </w:p>
    <w:p w:rsidR="0060504D" w:rsidRDefault="0060504D"/>
    <w:sectPr w:rsidR="0060504D" w:rsidSect="00677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598"/>
    <w:multiLevelType w:val="multilevel"/>
    <w:tmpl w:val="104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A43C8"/>
    <w:multiLevelType w:val="multilevel"/>
    <w:tmpl w:val="13F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F4C83"/>
    <w:multiLevelType w:val="multilevel"/>
    <w:tmpl w:val="1C3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9"/>
    <w:rsid w:val="0060504D"/>
    <w:rsid w:val="006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Недоедание</vt:lpstr>
      <vt:lpstr>    Основные факты</vt:lpstr>
      <vt:lpstr>    Различные формы недоедания</vt:lpstr>
      <vt:lpstr>        Недостаточное питание</vt:lpstr>
      <vt:lpstr>    Недостаточное питание, связанное с микроэлементами</vt:lpstr>
      <vt:lpstr>        Избыточный вес и ожирение</vt:lpstr>
      <vt:lpstr>        Неинфекционные заболевания, связанные с питанием</vt:lpstr>
      <vt:lpstr>    Масштаб проблемы</vt:lpstr>
      <vt:lpstr>    Кто находится в зоне риска?</vt:lpstr>
      <vt:lpstr>    Десятилетие действий Организации Объединенных Наций в области питания</vt:lpstr>
      <vt:lpstr>    Ответ ВОЗ</vt:lpstr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2020-07-20T10:39:00Z</cp:lastPrinted>
  <dcterms:created xsi:type="dcterms:W3CDTF">2020-07-20T10:33:00Z</dcterms:created>
  <dcterms:modified xsi:type="dcterms:W3CDTF">2020-07-20T10:40:00Z</dcterms:modified>
</cp:coreProperties>
</file>